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2AA" w:rsidRDefault="001672AA" w:rsidP="001672AA">
      <w:pPr>
        <w:jc w:val="center"/>
        <w:rPr>
          <w:rFonts w:ascii="宋体" w:hAnsi="宋体"/>
          <w:color w:val="FF0000"/>
          <w:sz w:val="72"/>
        </w:rPr>
      </w:pPr>
      <w:r>
        <w:rPr>
          <w:rFonts w:ascii="华文新魏" w:eastAsia="华文新魏" w:hint="eastAsia"/>
          <w:color w:val="FF0000"/>
          <w:sz w:val="72"/>
        </w:rPr>
        <w:t>北京科技大学教务处</w:t>
      </w:r>
    </w:p>
    <w:p w:rsidR="001672AA" w:rsidRDefault="001672AA" w:rsidP="001672AA">
      <w:pPr>
        <w:spacing w:line="200" w:lineRule="exact"/>
        <w:rPr>
          <w:rFonts w:ascii="Times New Roman" w:eastAsia="Times New Roman" w:hAnsi="Times New Roman"/>
          <w:sz w:val="24"/>
        </w:rPr>
      </w:pPr>
    </w:p>
    <w:p w:rsidR="001672AA" w:rsidRDefault="001672AA" w:rsidP="001672AA">
      <w:pPr>
        <w:spacing w:line="200" w:lineRule="exact"/>
        <w:rPr>
          <w:rFonts w:ascii="Times New Roman" w:eastAsia="Times New Roman" w:hAnsi="Times New Roman"/>
          <w:sz w:val="24"/>
        </w:rPr>
      </w:pPr>
    </w:p>
    <w:p w:rsidR="001672AA" w:rsidRDefault="001672AA" w:rsidP="001672AA">
      <w:pPr>
        <w:spacing w:line="329" w:lineRule="exact"/>
        <w:rPr>
          <w:rFonts w:ascii="Times New Roman" w:eastAsia="Times New Roman" w:hAnsi="Times New Roman"/>
          <w:sz w:val="24"/>
        </w:rPr>
      </w:pPr>
    </w:p>
    <w:p w:rsidR="001672AA" w:rsidRDefault="001672AA" w:rsidP="001672AA">
      <w:pPr>
        <w:spacing w:line="239" w:lineRule="auto"/>
        <w:jc w:val="center"/>
        <w:rPr>
          <w:rFonts w:ascii="楷体" w:eastAsia="楷体" w:hAnsi="楷体"/>
          <w:sz w:val="28"/>
        </w:rPr>
      </w:pPr>
      <w:r>
        <w:rPr>
          <w:rFonts w:ascii="楷体" w:eastAsia="楷体" w:hAnsi="楷体" w:hint="eastAsia"/>
          <w:sz w:val="28"/>
        </w:rPr>
        <w:t>校</w:t>
      </w:r>
      <w:r>
        <w:rPr>
          <w:rFonts w:ascii="楷体" w:eastAsia="楷体" w:hAnsi="楷体"/>
          <w:sz w:val="28"/>
        </w:rPr>
        <w:t>教</w:t>
      </w:r>
      <w:r>
        <w:rPr>
          <w:rFonts w:ascii="楷体" w:eastAsia="楷体" w:hAnsi="楷体" w:hint="eastAsia"/>
          <w:sz w:val="28"/>
        </w:rPr>
        <w:t>发</w:t>
      </w:r>
      <w:r>
        <w:rPr>
          <w:rFonts w:ascii="楷体" w:eastAsia="楷体" w:hAnsi="楷体"/>
          <w:sz w:val="28"/>
        </w:rPr>
        <w:t>【202</w:t>
      </w:r>
      <w:r w:rsidR="004B47EA">
        <w:rPr>
          <w:rFonts w:ascii="楷体" w:eastAsia="楷体" w:hAnsi="楷体"/>
          <w:sz w:val="28"/>
        </w:rPr>
        <w:t>3</w:t>
      </w:r>
      <w:r>
        <w:rPr>
          <w:rFonts w:ascii="楷体" w:eastAsia="楷体" w:hAnsi="楷体"/>
          <w:sz w:val="28"/>
        </w:rPr>
        <w:t>】3号</w:t>
      </w:r>
    </w:p>
    <w:p w:rsidR="001672AA" w:rsidRDefault="001672AA" w:rsidP="001672AA">
      <w:pPr>
        <w:spacing w:line="200" w:lineRule="exact"/>
        <w:rPr>
          <w:rFonts w:ascii="Times New Roman" w:eastAsia="Times New Roman" w:hAnsi="Times New Roman"/>
          <w:sz w:val="24"/>
        </w:rPr>
      </w:pPr>
      <w:r>
        <w:rPr>
          <w:rFonts w:ascii="宋体" w:hAnsi="宋体"/>
          <w:noProof/>
          <w:sz w:val="28"/>
        </w:rPr>
        <w:drawing>
          <wp:anchor distT="0" distB="0" distL="114300" distR="114300" simplePos="0" relativeHeight="251659264" behindDoc="1" locked="0" layoutInCell="0" allowOverlap="1">
            <wp:simplePos x="0" y="0"/>
            <wp:positionH relativeFrom="column">
              <wp:posOffset>-202565</wp:posOffset>
            </wp:positionH>
            <wp:positionV relativeFrom="paragraph">
              <wp:posOffset>164465</wp:posOffset>
            </wp:positionV>
            <wp:extent cx="5759450" cy="95250"/>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srcRect/>
                    <a:stretch>
                      <a:fillRect/>
                    </a:stretch>
                  </pic:blipFill>
                  <pic:spPr>
                    <a:xfrm>
                      <a:off x="0" y="0"/>
                      <a:ext cx="5759450" cy="95250"/>
                    </a:xfrm>
                    <a:prstGeom prst="rect">
                      <a:avLst/>
                    </a:prstGeom>
                    <a:noFill/>
                    <a:ln w="9525">
                      <a:noFill/>
                      <a:miter lim="800000"/>
                      <a:headEnd/>
                      <a:tailEnd/>
                    </a:ln>
                  </pic:spPr>
                </pic:pic>
              </a:graphicData>
            </a:graphic>
          </wp:anchor>
        </w:drawing>
      </w:r>
    </w:p>
    <w:p w:rsidR="001672AA" w:rsidRDefault="001672AA" w:rsidP="001672AA">
      <w:pPr>
        <w:spacing w:line="200" w:lineRule="exact"/>
        <w:rPr>
          <w:rFonts w:ascii="Times New Roman" w:eastAsia="Times New Roman" w:hAnsi="Times New Roman"/>
          <w:sz w:val="24"/>
        </w:rPr>
      </w:pPr>
    </w:p>
    <w:p w:rsidR="001672AA" w:rsidRDefault="001672AA" w:rsidP="001672AA">
      <w:pPr>
        <w:spacing w:line="200" w:lineRule="exact"/>
        <w:rPr>
          <w:rFonts w:ascii="Times New Roman" w:eastAsia="Times New Roman" w:hAnsi="Times New Roman"/>
          <w:sz w:val="24"/>
        </w:rPr>
      </w:pPr>
    </w:p>
    <w:p w:rsidR="00D0041E" w:rsidRPr="001672AA" w:rsidRDefault="00D0041E" w:rsidP="00792F58">
      <w:pPr>
        <w:pStyle w:val="a5"/>
        <w:spacing w:before="0" w:beforeAutospacing="0" w:afterLines="50" w:afterAutospacing="0" w:line="600" w:lineRule="atLeast"/>
        <w:jc w:val="center"/>
        <w:rPr>
          <w:rStyle w:val="a7"/>
          <w:rFonts w:ascii="华文中宋" w:eastAsia="华文中宋" w:hAnsi="华文中宋"/>
          <w:color w:val="333333"/>
          <w:sz w:val="32"/>
          <w:szCs w:val="28"/>
        </w:rPr>
      </w:pPr>
    </w:p>
    <w:p w:rsidR="00D0041E" w:rsidRDefault="00112927" w:rsidP="00792F58">
      <w:pPr>
        <w:pStyle w:val="a5"/>
        <w:spacing w:before="0" w:beforeAutospacing="0" w:afterLines="50" w:afterAutospacing="0" w:line="600" w:lineRule="atLeast"/>
        <w:jc w:val="center"/>
        <w:rPr>
          <w:rFonts w:ascii="黑体" w:eastAsia="黑体" w:hAnsi="黑体"/>
          <w:color w:val="333333"/>
          <w:sz w:val="32"/>
          <w:szCs w:val="32"/>
        </w:rPr>
      </w:pPr>
      <w:r>
        <w:rPr>
          <w:rFonts w:ascii="黑体" w:eastAsia="黑体" w:hAnsi="黑体" w:hint="eastAsia"/>
          <w:color w:val="333333"/>
          <w:sz w:val="32"/>
          <w:szCs w:val="32"/>
        </w:rPr>
        <w:t>北京科技大学高等学历继续教育校外教学点风险防控预案</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为进一步规范管控高等学历继续教育校外教学点的办学行为，切实做好校外教学点治理风险防范工作，提升应急处置能力，结合学校实际情况，特制定本预案。</w:t>
      </w:r>
    </w:p>
    <w:p w:rsidR="00D0041E" w:rsidRDefault="00112927">
      <w:pPr>
        <w:pStyle w:val="a5"/>
        <w:spacing w:before="0" w:beforeAutospacing="0" w:after="0" w:afterAutospacing="0" w:line="600" w:lineRule="atLeast"/>
        <w:ind w:firstLine="645"/>
        <w:rPr>
          <w:rFonts w:ascii="仿宋" w:eastAsia="仿宋" w:hAnsi="仿宋"/>
          <w:color w:val="333333"/>
          <w:sz w:val="28"/>
          <w:szCs w:val="28"/>
        </w:rPr>
      </w:pPr>
      <w:r>
        <w:rPr>
          <w:rFonts w:ascii="仿宋" w:eastAsia="仿宋" w:hAnsi="仿宋" w:hint="eastAsia"/>
          <w:color w:val="333333"/>
          <w:sz w:val="28"/>
          <w:szCs w:val="28"/>
        </w:rPr>
        <w:t>一、工作领导小组</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成立突发事件应急处置工作领导小组，工作领导小组在上级应急处置工作组领导下开展工作。</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组长：武冠雄 宁晓钧</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副组长：张军凌张明波</w:t>
      </w:r>
    </w:p>
    <w:p w:rsidR="00D0041E" w:rsidRDefault="00112927">
      <w:pPr>
        <w:spacing w:line="360" w:lineRule="auto"/>
        <w:ind w:firstLineChars="200" w:firstLine="560"/>
        <w:rPr>
          <w:rFonts w:ascii="仿宋" w:eastAsia="仿宋" w:hAnsi="仿宋"/>
          <w:sz w:val="28"/>
          <w:szCs w:val="28"/>
        </w:rPr>
      </w:pPr>
      <w:r>
        <w:rPr>
          <w:rFonts w:ascii="仿宋" w:eastAsia="仿宋" w:hAnsi="仿宋"/>
          <w:sz w:val="28"/>
          <w:szCs w:val="28"/>
        </w:rPr>
        <w:t>成员：高航  谢平  谢昕</w:t>
      </w:r>
    </w:p>
    <w:p w:rsidR="00D0041E" w:rsidRDefault="00112927">
      <w:pPr>
        <w:pStyle w:val="a5"/>
        <w:spacing w:before="0" w:beforeAutospacing="0" w:after="0" w:afterAutospacing="0" w:line="600" w:lineRule="atLeast"/>
        <w:ind w:firstLineChars="200" w:firstLine="560"/>
        <w:rPr>
          <w:rFonts w:ascii="仿宋" w:eastAsia="仿宋" w:hAnsi="仿宋"/>
          <w:sz w:val="28"/>
          <w:szCs w:val="28"/>
        </w:rPr>
      </w:pPr>
      <w:r>
        <w:rPr>
          <w:rFonts w:ascii="仿宋" w:eastAsia="仿宋" w:hAnsi="仿宋" w:hint="eastAsia"/>
          <w:sz w:val="28"/>
          <w:szCs w:val="28"/>
        </w:rPr>
        <w:t>办公室设在远程与成人教育学院，具体负责日常事务。</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（一）领导小组职责</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1.统一领导、指挥、协调突发事件的应急处置工作。</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2.决定事件处置决策和应对措施，指挥、协调有关部门、单位组织实施。</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3.决定启动和终止应急预案。</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4.对在预防和处置过程中因失职、渎职或其他原因造成严重后果的责任教学点和责任人员，依法依纪追究其责任。</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（二）办公室职责</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1.落实上级领导和工作小组的方案、决定。</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2.及时修订完善突发事件应急处置预案，并报工作小组研究决定。</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3.收集、综合分析有关突发事件的信息，有针对性地提出工作建议。</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4.向上级工作组汇报预案的执行情况，报送相关信息。</w:t>
      </w:r>
    </w:p>
    <w:p w:rsidR="00D0041E" w:rsidRDefault="00112927">
      <w:pPr>
        <w:spacing w:line="360" w:lineRule="auto"/>
        <w:ind w:firstLineChars="200" w:firstLine="560"/>
        <w:rPr>
          <w:rFonts w:ascii="仿宋" w:eastAsia="仿宋" w:hAnsi="仿宋"/>
          <w:sz w:val="28"/>
          <w:szCs w:val="28"/>
        </w:rPr>
      </w:pPr>
      <w:r>
        <w:rPr>
          <w:rFonts w:ascii="仿宋" w:eastAsia="仿宋" w:hAnsi="仿宋" w:hint="eastAsia"/>
          <w:sz w:val="28"/>
          <w:szCs w:val="28"/>
        </w:rPr>
        <w:t>5.完成上级领导和工作小组交办的其他事项。</w:t>
      </w:r>
    </w:p>
    <w:p w:rsidR="00D0041E" w:rsidRDefault="00112927">
      <w:pPr>
        <w:pStyle w:val="a5"/>
        <w:spacing w:before="0" w:beforeAutospacing="0" w:after="0" w:afterAutospacing="0" w:line="600" w:lineRule="atLeast"/>
        <w:ind w:firstLine="645"/>
        <w:rPr>
          <w:rFonts w:ascii="仿宋" w:eastAsia="仿宋" w:hAnsi="仿宋"/>
          <w:color w:val="333333"/>
          <w:sz w:val="28"/>
          <w:szCs w:val="28"/>
        </w:rPr>
      </w:pPr>
      <w:r>
        <w:rPr>
          <w:rFonts w:ascii="仿宋" w:eastAsia="仿宋" w:hAnsi="仿宋" w:hint="eastAsia"/>
          <w:color w:val="333333"/>
          <w:sz w:val="28"/>
          <w:szCs w:val="28"/>
        </w:rPr>
        <w:t>二、处置程序</w:t>
      </w:r>
    </w:p>
    <w:p w:rsidR="00D0041E" w:rsidRDefault="00112927">
      <w:pPr>
        <w:pStyle w:val="a5"/>
        <w:spacing w:line="600" w:lineRule="atLeast"/>
        <w:ind w:firstLine="645"/>
        <w:rPr>
          <w:rFonts w:ascii="仿宋" w:eastAsia="仿宋" w:hAnsi="仿宋"/>
          <w:sz w:val="28"/>
          <w:szCs w:val="28"/>
        </w:rPr>
      </w:pPr>
      <w:r>
        <w:rPr>
          <w:rFonts w:ascii="仿宋" w:eastAsia="仿宋" w:hAnsi="仿宋" w:hint="eastAsia"/>
          <w:color w:val="333333"/>
          <w:sz w:val="28"/>
          <w:szCs w:val="28"/>
        </w:rPr>
        <w:t>加强对校外教学点日常风险防范，强化舆情监测，一旦发现苗头，及时分析研判处置。发生突发事件后，应急处置工作组要及时组织和协调相关人员进行安全妥善处理，并及时向学校主管部门报告。校外教学点主要风险点集中在网络教育试点结束后存量学生的学习支持服务和学生管理等方面。针对相应风险点制订防控措施如下。</w:t>
      </w:r>
    </w:p>
    <w:tbl>
      <w:tblPr>
        <w:tblStyle w:val="a6"/>
        <w:tblW w:w="9073" w:type="dxa"/>
        <w:tblInd w:w="-318" w:type="dxa"/>
        <w:tblLook w:val="04A0"/>
      </w:tblPr>
      <w:tblGrid>
        <w:gridCol w:w="1986"/>
        <w:gridCol w:w="7087"/>
      </w:tblGrid>
      <w:tr w:rsidR="00D0041E">
        <w:trPr>
          <w:trHeight w:val="339"/>
        </w:trPr>
        <w:tc>
          <w:tcPr>
            <w:tcW w:w="1986" w:type="dxa"/>
            <w:vAlign w:val="center"/>
          </w:tcPr>
          <w:p w:rsidR="00D0041E" w:rsidRDefault="00112927">
            <w:pPr>
              <w:jc w:val="center"/>
              <w:rPr>
                <w:rFonts w:ascii="仿宋" w:eastAsia="仿宋" w:hAnsi="仿宋"/>
                <w:b/>
                <w:kern w:val="0"/>
                <w:sz w:val="28"/>
                <w:szCs w:val="28"/>
              </w:rPr>
            </w:pPr>
            <w:r>
              <w:rPr>
                <w:rFonts w:ascii="仿宋" w:eastAsia="仿宋" w:hAnsi="仿宋" w:hint="eastAsia"/>
                <w:b/>
                <w:kern w:val="0"/>
                <w:sz w:val="28"/>
                <w:szCs w:val="28"/>
              </w:rPr>
              <w:t>风险防控点</w:t>
            </w:r>
          </w:p>
        </w:tc>
        <w:tc>
          <w:tcPr>
            <w:tcW w:w="7087" w:type="dxa"/>
            <w:vAlign w:val="center"/>
          </w:tcPr>
          <w:p w:rsidR="00D0041E" w:rsidRDefault="00112927">
            <w:pPr>
              <w:jc w:val="center"/>
              <w:rPr>
                <w:rFonts w:ascii="仿宋" w:eastAsia="仿宋" w:hAnsi="仿宋"/>
                <w:b/>
                <w:kern w:val="0"/>
                <w:sz w:val="28"/>
                <w:szCs w:val="28"/>
              </w:rPr>
            </w:pPr>
            <w:r>
              <w:rPr>
                <w:rFonts w:ascii="仿宋" w:eastAsia="仿宋" w:hAnsi="仿宋" w:hint="eastAsia"/>
                <w:b/>
                <w:kern w:val="0"/>
                <w:sz w:val="28"/>
                <w:szCs w:val="28"/>
              </w:rPr>
              <w:t>防控措施</w:t>
            </w:r>
          </w:p>
        </w:tc>
      </w:tr>
      <w:tr w:rsidR="00D0041E">
        <w:trPr>
          <w:trHeight w:val="90"/>
        </w:trPr>
        <w:tc>
          <w:tcPr>
            <w:tcW w:w="1986"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学习支持服务</w:t>
            </w:r>
          </w:p>
        </w:tc>
        <w:tc>
          <w:tcPr>
            <w:tcW w:w="7087"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1.保障人力、物力投入；</w:t>
            </w:r>
          </w:p>
          <w:p w:rsidR="00D0041E" w:rsidRDefault="00112927">
            <w:pPr>
              <w:rPr>
                <w:rFonts w:ascii="仿宋" w:eastAsia="仿宋" w:hAnsi="仿宋"/>
                <w:kern w:val="0"/>
                <w:sz w:val="28"/>
                <w:szCs w:val="28"/>
              </w:rPr>
            </w:pPr>
            <w:r>
              <w:rPr>
                <w:rFonts w:ascii="仿宋" w:eastAsia="仿宋" w:hAnsi="仿宋" w:hint="eastAsia"/>
                <w:kern w:val="0"/>
                <w:sz w:val="28"/>
                <w:szCs w:val="28"/>
              </w:rPr>
              <w:t>2.制定课程资源更新计划并落实；</w:t>
            </w:r>
          </w:p>
          <w:p w:rsidR="00D0041E" w:rsidRDefault="00112927">
            <w:pPr>
              <w:rPr>
                <w:rFonts w:ascii="仿宋" w:eastAsia="仿宋" w:hAnsi="仿宋"/>
                <w:kern w:val="0"/>
                <w:sz w:val="28"/>
                <w:szCs w:val="28"/>
              </w:rPr>
            </w:pPr>
            <w:r>
              <w:rPr>
                <w:rFonts w:ascii="仿宋" w:eastAsia="仿宋" w:hAnsi="仿宋" w:hint="eastAsia"/>
                <w:kern w:val="0"/>
                <w:sz w:val="28"/>
                <w:szCs w:val="28"/>
              </w:rPr>
              <w:t>3.持续优化教学与管理平台功能，保障平台平稳运行。</w:t>
            </w:r>
          </w:p>
        </w:tc>
      </w:tr>
      <w:tr w:rsidR="00D0041E">
        <w:trPr>
          <w:trHeight w:val="699"/>
        </w:trPr>
        <w:tc>
          <w:tcPr>
            <w:tcW w:w="1986"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统考工作</w:t>
            </w:r>
          </w:p>
        </w:tc>
        <w:tc>
          <w:tcPr>
            <w:tcW w:w="7087"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1.成立课程命题小组，保障命题质量；</w:t>
            </w:r>
          </w:p>
          <w:p w:rsidR="00D0041E" w:rsidRDefault="00112927">
            <w:pPr>
              <w:rPr>
                <w:rFonts w:ascii="仿宋" w:eastAsia="仿宋" w:hAnsi="仿宋"/>
                <w:kern w:val="0"/>
                <w:sz w:val="28"/>
                <w:szCs w:val="28"/>
              </w:rPr>
            </w:pPr>
            <w:r>
              <w:rPr>
                <w:rFonts w:ascii="仿宋" w:eastAsia="仿宋" w:hAnsi="仿宋" w:hint="eastAsia"/>
                <w:kern w:val="0"/>
                <w:sz w:val="28"/>
                <w:szCs w:val="28"/>
              </w:rPr>
              <w:lastRenderedPageBreak/>
              <w:t>2.加强题库、试题、试卷全程保密管理，杜绝泄密事件发生；</w:t>
            </w:r>
          </w:p>
          <w:p w:rsidR="00D0041E" w:rsidRDefault="00112927">
            <w:pPr>
              <w:rPr>
                <w:rFonts w:ascii="仿宋" w:eastAsia="仿宋" w:hAnsi="仿宋"/>
                <w:kern w:val="0"/>
                <w:sz w:val="28"/>
                <w:szCs w:val="28"/>
              </w:rPr>
            </w:pPr>
            <w:r>
              <w:rPr>
                <w:rFonts w:ascii="仿宋" w:eastAsia="仿宋" w:hAnsi="仿宋" w:hint="eastAsia"/>
                <w:kern w:val="0"/>
                <w:sz w:val="28"/>
                <w:szCs w:val="28"/>
              </w:rPr>
              <w:t>3.严格执行考场纪律，严防考试作弊；</w:t>
            </w:r>
          </w:p>
          <w:p w:rsidR="00D0041E" w:rsidRDefault="00112927">
            <w:pPr>
              <w:rPr>
                <w:rFonts w:ascii="仿宋" w:eastAsia="仿宋" w:hAnsi="仿宋"/>
                <w:kern w:val="0"/>
                <w:sz w:val="28"/>
                <w:szCs w:val="28"/>
              </w:rPr>
            </w:pPr>
            <w:r>
              <w:rPr>
                <w:rFonts w:ascii="仿宋" w:eastAsia="仿宋" w:hAnsi="仿宋" w:hint="eastAsia"/>
                <w:kern w:val="0"/>
                <w:sz w:val="28"/>
                <w:szCs w:val="28"/>
              </w:rPr>
              <w:t>4.提升考试平台技术监控性能，严防在线考试考生作弊。</w:t>
            </w:r>
          </w:p>
        </w:tc>
      </w:tr>
      <w:tr w:rsidR="00D0041E">
        <w:trPr>
          <w:trHeight w:val="2031"/>
        </w:trPr>
        <w:tc>
          <w:tcPr>
            <w:tcW w:w="1986"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lastRenderedPageBreak/>
              <w:t>校外教学点管理</w:t>
            </w:r>
          </w:p>
        </w:tc>
        <w:tc>
          <w:tcPr>
            <w:tcW w:w="7087"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1.分类管理：针对存量学生较多的学习中心，加强重点质量监控，指定专人监管，针对存量学生较少的学习中心，实施集中指导管理；</w:t>
            </w:r>
          </w:p>
          <w:p w:rsidR="00D0041E" w:rsidRDefault="00112927">
            <w:pPr>
              <w:rPr>
                <w:rFonts w:ascii="仿宋" w:eastAsia="仿宋" w:hAnsi="仿宋"/>
                <w:kern w:val="0"/>
                <w:sz w:val="28"/>
                <w:szCs w:val="28"/>
              </w:rPr>
            </w:pPr>
            <w:r>
              <w:rPr>
                <w:rFonts w:ascii="仿宋" w:eastAsia="仿宋" w:hAnsi="仿宋" w:hint="eastAsia"/>
                <w:kern w:val="0"/>
                <w:sz w:val="28"/>
                <w:szCs w:val="28"/>
              </w:rPr>
              <w:t>2.动态管理：定期汇总数据，研判学习中心运行状况，有针对性的采取措施，解决问题，确保学习中心履行义务。</w:t>
            </w:r>
          </w:p>
        </w:tc>
      </w:tr>
      <w:tr w:rsidR="00D0041E">
        <w:trPr>
          <w:trHeight w:val="2955"/>
        </w:trPr>
        <w:tc>
          <w:tcPr>
            <w:tcW w:w="1986"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学生群发事件管理</w:t>
            </w:r>
          </w:p>
        </w:tc>
        <w:tc>
          <w:tcPr>
            <w:tcW w:w="7087"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1.专人对接学习中心的学生管理工作，及时掌握学生舆情，了解原由，做出相应处理；</w:t>
            </w:r>
          </w:p>
          <w:p w:rsidR="00D0041E" w:rsidRDefault="00112927">
            <w:pPr>
              <w:rPr>
                <w:rFonts w:ascii="仿宋" w:eastAsia="仿宋" w:hAnsi="仿宋"/>
                <w:kern w:val="0"/>
                <w:sz w:val="28"/>
                <w:szCs w:val="28"/>
              </w:rPr>
            </w:pPr>
            <w:r>
              <w:rPr>
                <w:rFonts w:ascii="仿宋" w:eastAsia="仿宋" w:hAnsi="仿宋" w:hint="eastAsia"/>
                <w:kern w:val="0"/>
                <w:sz w:val="28"/>
                <w:szCs w:val="28"/>
              </w:rPr>
              <w:t>2.高度重视学生投诉（特别是涉及学籍、成绩、毕业等事件），快速反应，防止学生群发事件发生。</w:t>
            </w:r>
          </w:p>
        </w:tc>
      </w:tr>
      <w:tr w:rsidR="00D0041E">
        <w:trPr>
          <w:trHeight w:val="368"/>
        </w:trPr>
        <w:tc>
          <w:tcPr>
            <w:tcW w:w="1986" w:type="dxa"/>
            <w:vAlign w:val="center"/>
          </w:tcPr>
          <w:p w:rsidR="00D0041E" w:rsidRDefault="00112927">
            <w:pPr>
              <w:rPr>
                <w:rFonts w:ascii="仿宋" w:eastAsia="仿宋" w:hAnsi="仿宋"/>
                <w:kern w:val="0"/>
                <w:sz w:val="28"/>
                <w:szCs w:val="28"/>
              </w:rPr>
            </w:pPr>
            <w:r>
              <w:rPr>
                <w:rFonts w:ascii="仿宋" w:eastAsia="仿宋" w:hAnsi="仿宋" w:hint="eastAsia"/>
                <w:kern w:val="0"/>
                <w:sz w:val="28"/>
                <w:szCs w:val="28"/>
              </w:rPr>
              <w:t>其他突发事件</w:t>
            </w:r>
          </w:p>
        </w:tc>
        <w:tc>
          <w:tcPr>
            <w:tcW w:w="7087" w:type="dxa"/>
            <w:vAlign w:val="center"/>
          </w:tcPr>
          <w:p w:rsidR="00D0041E" w:rsidRDefault="00112927">
            <w:pPr>
              <w:pStyle w:val="a5"/>
              <w:spacing w:before="0" w:beforeAutospacing="0" w:after="0" w:afterAutospacing="0" w:line="600" w:lineRule="atLeast"/>
              <w:rPr>
                <w:rFonts w:ascii="仿宋" w:eastAsia="仿宋" w:hAnsi="仿宋" w:cstheme="minorBidi"/>
                <w:sz w:val="28"/>
                <w:szCs w:val="28"/>
              </w:rPr>
            </w:pPr>
            <w:r>
              <w:rPr>
                <w:rFonts w:ascii="仿宋" w:eastAsia="仿宋" w:hAnsi="仿宋" w:cstheme="minorBidi" w:hint="eastAsia"/>
                <w:sz w:val="28"/>
                <w:szCs w:val="28"/>
              </w:rPr>
              <w:t>按常规处置程序开展工作。</w:t>
            </w:r>
          </w:p>
        </w:tc>
      </w:tr>
    </w:tbl>
    <w:p w:rsidR="00D0041E" w:rsidRDefault="00112927">
      <w:pPr>
        <w:pStyle w:val="a5"/>
        <w:spacing w:before="0" w:beforeAutospacing="0" w:after="0" w:afterAutospacing="0" w:line="600" w:lineRule="atLeast"/>
        <w:ind w:firstLine="645"/>
        <w:rPr>
          <w:rFonts w:ascii="仿宋" w:eastAsia="仿宋" w:hAnsi="仿宋"/>
          <w:color w:val="333333"/>
          <w:sz w:val="28"/>
          <w:szCs w:val="28"/>
        </w:rPr>
      </w:pPr>
      <w:r>
        <w:rPr>
          <w:rFonts w:ascii="仿宋" w:eastAsia="仿宋" w:hAnsi="仿宋" w:hint="eastAsia"/>
          <w:color w:val="333333"/>
          <w:sz w:val="28"/>
          <w:szCs w:val="28"/>
        </w:rPr>
        <w:t>三、工作要求</w:t>
      </w:r>
    </w:p>
    <w:p w:rsidR="00D0041E" w:rsidRDefault="00112927">
      <w:pPr>
        <w:ind w:firstLineChars="202" w:firstLine="566"/>
        <w:rPr>
          <w:rFonts w:ascii="仿宋" w:eastAsia="仿宋" w:hAnsi="仿宋"/>
          <w:kern w:val="0"/>
          <w:sz w:val="28"/>
          <w:szCs w:val="28"/>
        </w:rPr>
      </w:pPr>
      <w:r>
        <w:rPr>
          <w:rFonts w:ascii="仿宋" w:eastAsia="仿宋" w:hAnsi="仿宋" w:hint="eastAsia"/>
          <w:kern w:val="0"/>
          <w:sz w:val="28"/>
          <w:szCs w:val="28"/>
        </w:rPr>
        <w:t>1.加强对预案实施工作的组织领导，做到有备无患。</w:t>
      </w:r>
    </w:p>
    <w:p w:rsidR="00D0041E" w:rsidRDefault="00112927">
      <w:pPr>
        <w:ind w:firstLineChars="202" w:firstLine="566"/>
        <w:rPr>
          <w:rFonts w:ascii="仿宋" w:eastAsia="仿宋" w:hAnsi="仿宋"/>
          <w:kern w:val="0"/>
          <w:sz w:val="28"/>
          <w:szCs w:val="28"/>
        </w:rPr>
      </w:pPr>
      <w:r>
        <w:rPr>
          <w:rFonts w:ascii="仿宋" w:eastAsia="仿宋" w:hAnsi="仿宋" w:hint="eastAsia"/>
          <w:kern w:val="0"/>
          <w:sz w:val="28"/>
          <w:szCs w:val="28"/>
        </w:rPr>
        <w:t>2.把风险防范放在第一位，提高工作前瞻性和科学性，加强常态化自查排查工作。</w:t>
      </w:r>
    </w:p>
    <w:p w:rsidR="00D0041E" w:rsidRDefault="00112927">
      <w:pPr>
        <w:ind w:firstLineChars="202" w:firstLine="566"/>
        <w:rPr>
          <w:rFonts w:ascii="仿宋" w:eastAsia="仿宋" w:hAnsi="仿宋"/>
          <w:kern w:val="0"/>
          <w:sz w:val="28"/>
          <w:szCs w:val="28"/>
        </w:rPr>
      </w:pPr>
      <w:r>
        <w:rPr>
          <w:rFonts w:ascii="仿宋" w:eastAsia="仿宋" w:hAnsi="仿宋" w:hint="eastAsia"/>
          <w:kern w:val="0"/>
          <w:sz w:val="28"/>
          <w:szCs w:val="28"/>
        </w:rPr>
        <w:t>3.处置工作要做到及时、妥善、有效，宜散不宜结、宜疏不宜堵、宜劝不宜激，快速反应、措施有力、处置有效。</w:t>
      </w:r>
    </w:p>
    <w:p w:rsidR="00D0041E" w:rsidRDefault="00112927">
      <w:pPr>
        <w:ind w:firstLineChars="202" w:firstLine="566"/>
        <w:rPr>
          <w:rFonts w:ascii="仿宋" w:eastAsia="仿宋" w:hAnsi="仿宋"/>
          <w:kern w:val="0"/>
          <w:sz w:val="28"/>
          <w:szCs w:val="28"/>
        </w:rPr>
      </w:pPr>
      <w:r>
        <w:rPr>
          <w:rFonts w:ascii="仿宋" w:eastAsia="仿宋" w:hAnsi="仿宋" w:hint="eastAsia"/>
          <w:kern w:val="0"/>
          <w:sz w:val="28"/>
          <w:szCs w:val="28"/>
        </w:rPr>
        <w:t>4.强化工作人员的应急教育，掌握预案要求，熟悉工作流程，做</w:t>
      </w:r>
      <w:r>
        <w:rPr>
          <w:rFonts w:ascii="仿宋" w:eastAsia="仿宋" w:hAnsi="仿宋" w:hint="eastAsia"/>
          <w:kern w:val="0"/>
          <w:sz w:val="28"/>
          <w:szCs w:val="28"/>
        </w:rPr>
        <w:lastRenderedPageBreak/>
        <w:t>到心中有数，加强应急处置培训和演练，充分做好应急准备工作。</w:t>
      </w:r>
    </w:p>
    <w:p w:rsidR="00D0041E" w:rsidRDefault="00112927">
      <w:pPr>
        <w:pStyle w:val="a5"/>
        <w:spacing w:before="0" w:beforeAutospacing="0" w:after="0" w:afterAutospacing="0" w:line="600" w:lineRule="atLeast"/>
        <w:ind w:firstLine="645"/>
        <w:rPr>
          <w:rFonts w:ascii="仿宋" w:eastAsia="仿宋" w:hAnsi="仿宋"/>
          <w:color w:val="333333"/>
          <w:sz w:val="28"/>
          <w:szCs w:val="28"/>
        </w:rPr>
      </w:pPr>
      <w:r>
        <w:rPr>
          <w:rFonts w:ascii="仿宋" w:eastAsia="仿宋" w:hAnsi="仿宋" w:hint="eastAsia"/>
          <w:color w:val="333333"/>
          <w:sz w:val="28"/>
          <w:szCs w:val="28"/>
        </w:rPr>
        <w:t>四、责任追究</w:t>
      </w:r>
    </w:p>
    <w:p w:rsidR="00D0041E" w:rsidRDefault="00112927">
      <w:pPr>
        <w:ind w:firstLineChars="202" w:firstLine="566"/>
        <w:rPr>
          <w:rFonts w:ascii="仿宋" w:eastAsia="仿宋" w:hAnsi="仿宋"/>
          <w:kern w:val="0"/>
          <w:sz w:val="28"/>
          <w:szCs w:val="28"/>
        </w:rPr>
      </w:pPr>
      <w:r>
        <w:rPr>
          <w:rFonts w:ascii="仿宋" w:eastAsia="仿宋" w:hAnsi="仿宋" w:hint="eastAsia"/>
          <w:kern w:val="0"/>
          <w:sz w:val="28"/>
          <w:szCs w:val="28"/>
        </w:rPr>
        <w:t>发生突发事件时，应立即启动本预案，绝不允许出现延误失措，对因工作失职、渎职造成不良社会影响和严重后果的，依法依规追究相关责任。</w:t>
      </w:r>
    </w:p>
    <w:p w:rsidR="00D0041E" w:rsidRDefault="00112927">
      <w:pPr>
        <w:spacing w:line="360" w:lineRule="auto"/>
        <w:ind w:firstLineChars="1400" w:firstLine="3920"/>
        <w:rPr>
          <w:rFonts w:ascii="仿宋" w:eastAsia="仿宋" w:hAnsi="仿宋"/>
          <w:sz w:val="28"/>
          <w:szCs w:val="28"/>
        </w:rPr>
      </w:pPr>
      <w:r>
        <w:rPr>
          <w:rFonts w:ascii="仿宋" w:eastAsia="仿宋" w:hAnsi="仿宋" w:hint="eastAsia"/>
          <w:sz w:val="28"/>
          <w:szCs w:val="28"/>
        </w:rPr>
        <w:t>北京科技大学教务处</w:t>
      </w:r>
    </w:p>
    <w:p w:rsidR="00D0041E" w:rsidRDefault="00112927">
      <w:pPr>
        <w:spacing w:line="360" w:lineRule="auto"/>
        <w:ind w:firstLineChars="1400" w:firstLine="3920"/>
        <w:rPr>
          <w:rFonts w:ascii="仿宋" w:eastAsia="仿宋" w:hAnsi="仿宋"/>
          <w:sz w:val="28"/>
          <w:szCs w:val="28"/>
        </w:rPr>
      </w:pPr>
      <w:r>
        <w:rPr>
          <w:rFonts w:ascii="仿宋" w:eastAsia="仿宋" w:hAnsi="仿宋" w:hint="eastAsia"/>
          <w:sz w:val="28"/>
          <w:szCs w:val="28"/>
        </w:rPr>
        <w:t>北京科技大学管庄校区</w:t>
      </w:r>
    </w:p>
    <w:p w:rsidR="00D0041E" w:rsidRDefault="00112927">
      <w:pPr>
        <w:spacing w:line="360" w:lineRule="auto"/>
        <w:ind w:firstLineChars="2100" w:firstLine="5880"/>
        <w:rPr>
          <w:rFonts w:ascii="宋体" w:eastAsia="宋体" w:hAnsi="宋体"/>
          <w:sz w:val="28"/>
          <w:szCs w:val="28"/>
        </w:rPr>
      </w:pPr>
      <w:r>
        <w:rPr>
          <w:rFonts w:ascii="仿宋" w:eastAsia="仿宋" w:hAnsi="仿宋"/>
          <w:sz w:val="28"/>
          <w:szCs w:val="28"/>
        </w:rPr>
        <w:t>202</w:t>
      </w:r>
      <w:r w:rsidR="00792F58">
        <w:rPr>
          <w:rFonts w:ascii="仿宋" w:eastAsia="仿宋" w:hAnsi="仿宋" w:hint="eastAsia"/>
          <w:sz w:val="28"/>
          <w:szCs w:val="28"/>
        </w:rPr>
        <w:t>3</w:t>
      </w:r>
      <w:r>
        <w:rPr>
          <w:rFonts w:ascii="仿宋" w:eastAsia="仿宋" w:hAnsi="仿宋"/>
          <w:sz w:val="28"/>
          <w:szCs w:val="28"/>
        </w:rPr>
        <w:t>年1月</w:t>
      </w:r>
      <w:r w:rsidR="00792F58">
        <w:rPr>
          <w:rFonts w:ascii="仿宋" w:eastAsia="仿宋" w:hAnsi="仿宋" w:hint="eastAsia"/>
          <w:sz w:val="28"/>
          <w:szCs w:val="28"/>
        </w:rPr>
        <w:t>18</w:t>
      </w:r>
      <w:r>
        <w:rPr>
          <w:rFonts w:ascii="仿宋" w:eastAsia="仿宋" w:hAnsi="仿宋" w:hint="eastAsia"/>
          <w:sz w:val="28"/>
          <w:szCs w:val="28"/>
        </w:rPr>
        <w:t>日</w:t>
      </w:r>
    </w:p>
    <w:p w:rsidR="00D0041E" w:rsidRDefault="00D0041E"/>
    <w:p w:rsidR="00D0041E" w:rsidRDefault="00D0041E"/>
    <w:p w:rsidR="00D0041E" w:rsidRDefault="00D0041E"/>
    <w:sectPr w:rsidR="00D0041E" w:rsidSect="00F27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85F" w:rsidRDefault="00B4085F" w:rsidP="001672AA">
      <w:r>
        <w:separator/>
      </w:r>
    </w:p>
  </w:endnote>
  <w:endnote w:type="continuationSeparator" w:id="1">
    <w:p w:rsidR="00B4085F" w:rsidRDefault="00B4085F" w:rsidP="001672AA">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85F" w:rsidRDefault="00B4085F" w:rsidP="001672AA">
      <w:r>
        <w:separator/>
      </w:r>
    </w:p>
  </w:footnote>
  <w:footnote w:type="continuationSeparator" w:id="1">
    <w:p w:rsidR="00B4085F" w:rsidRDefault="00B4085F" w:rsidP="001672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RkZWNlMWM2ODA2N2M3YjNjMjcyZDQ3OWRlZTg4ZTMifQ=="/>
  </w:docVars>
  <w:rsids>
    <w:rsidRoot w:val="008357AA"/>
    <w:rsid w:val="00044233"/>
    <w:rsid w:val="001024A0"/>
    <w:rsid w:val="00112927"/>
    <w:rsid w:val="00160057"/>
    <w:rsid w:val="00165A2A"/>
    <w:rsid w:val="001672AA"/>
    <w:rsid w:val="00420A8E"/>
    <w:rsid w:val="004B47EA"/>
    <w:rsid w:val="004E525A"/>
    <w:rsid w:val="00610728"/>
    <w:rsid w:val="006442A3"/>
    <w:rsid w:val="006C3DB9"/>
    <w:rsid w:val="00792F58"/>
    <w:rsid w:val="007E0F8C"/>
    <w:rsid w:val="007F156B"/>
    <w:rsid w:val="00803FF3"/>
    <w:rsid w:val="008357AA"/>
    <w:rsid w:val="008C796B"/>
    <w:rsid w:val="009E3F28"/>
    <w:rsid w:val="00A7428F"/>
    <w:rsid w:val="00A85C15"/>
    <w:rsid w:val="00B4085F"/>
    <w:rsid w:val="00BD7A04"/>
    <w:rsid w:val="00C23AF8"/>
    <w:rsid w:val="00D0041E"/>
    <w:rsid w:val="00D2531C"/>
    <w:rsid w:val="00E65C16"/>
    <w:rsid w:val="00F27845"/>
    <w:rsid w:val="00FC3CA9"/>
    <w:rsid w:val="00FE2D78"/>
    <w:rsid w:val="00FE38B0"/>
    <w:rsid w:val="1B7A58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8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7845"/>
    <w:pPr>
      <w:tabs>
        <w:tab w:val="center" w:pos="4153"/>
        <w:tab w:val="right" w:pos="8306"/>
      </w:tabs>
      <w:snapToGrid w:val="0"/>
      <w:jc w:val="left"/>
    </w:pPr>
    <w:rPr>
      <w:sz w:val="18"/>
      <w:szCs w:val="18"/>
    </w:rPr>
  </w:style>
  <w:style w:type="paragraph" w:styleId="a4">
    <w:name w:val="header"/>
    <w:basedOn w:val="a"/>
    <w:link w:val="Char0"/>
    <w:uiPriority w:val="99"/>
    <w:unhideWhenUsed/>
    <w:rsid w:val="00F2784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F27845"/>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39"/>
    <w:qFormat/>
    <w:rsid w:val="00F27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27845"/>
    <w:rPr>
      <w:b/>
      <w:bCs/>
    </w:rPr>
  </w:style>
  <w:style w:type="character" w:customStyle="1" w:styleId="Char0">
    <w:name w:val="页眉 Char"/>
    <w:basedOn w:val="a0"/>
    <w:link w:val="a4"/>
    <w:uiPriority w:val="99"/>
    <w:rsid w:val="00F27845"/>
    <w:rPr>
      <w:sz w:val="18"/>
      <w:szCs w:val="18"/>
    </w:rPr>
  </w:style>
  <w:style w:type="character" w:customStyle="1" w:styleId="Char">
    <w:name w:val="页脚 Char"/>
    <w:basedOn w:val="a0"/>
    <w:link w:val="a3"/>
    <w:uiPriority w:val="99"/>
    <w:qFormat/>
    <w:rsid w:val="00F2784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6626043@qq.com</dc:creator>
  <cp:lastModifiedBy>教务处</cp:lastModifiedBy>
  <cp:revision>16</cp:revision>
  <dcterms:created xsi:type="dcterms:W3CDTF">2023-01-09T08:34:00Z</dcterms:created>
  <dcterms:modified xsi:type="dcterms:W3CDTF">2023-01-18T01:29:00Z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C2DE641A6A9C4ADCA1FABDD4C3324D48</vt:lpwstr>
  </property>
</Properties>
</file>